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  <w:t xml:space="preserve">                                             </w:t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</w:t>
      </w:r>
      <w:r>
        <w:rPr/>
        <w:t xml:space="preserve">Приложение №______ </w:t>
      </w:r>
    </w:p>
    <w:p>
      <w:pPr>
        <w:pStyle w:val="Normal"/>
        <w:ind w:left="-113" w:firstLine="821"/>
        <w:jc w:val="right"/>
        <w:rPr/>
      </w:pPr>
      <w:r>
        <w:rPr/>
        <w:t>к договору подряда___________________</w:t>
      </w:r>
    </w:p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ind w:left="-113" w:firstLine="821"/>
        <w:jc w:val="right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ind w:left="-113" w:firstLine="821"/>
        <w:jc w:val="right"/>
        <w:rPr/>
      </w:pPr>
      <w:r>
        <w:rPr>
          <w:rFonts w:cs="Arial"/>
          <w:b/>
        </w:rPr>
        <w:t xml:space="preserve">          </w:t>
      </w:r>
      <w:r>
        <w:rPr>
          <w:rFonts w:cs="Arial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Arial"/>
        </w:rPr>
        <w:tab/>
        <w:tab/>
        <w:t xml:space="preserve">                                    </w:t>
      </w:r>
      <w:r>
        <w:rPr>
          <w:rFonts w:cs="Tahoma"/>
        </w:rPr>
        <w:t>Главный управляющий директор                                            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/>
      </w:pP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11"/>
        <w:rPr/>
      </w:pPr>
      <w:r>
        <w:rPr>
          <w:rFonts w:cs="Tahoma" w:ascii="Times New Roman" w:hAnsi="Times New Roman"/>
        </w:rPr>
        <w:t>ТЕХНИЧЕСКОЕ ЗАДАНИЕ № СКС-2021-ИП-В-5.3.1.2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>На выполнение строительно-монтажных работ по объекту</w:t>
      </w:r>
    </w:p>
    <w:p>
      <w:pPr>
        <w:pStyle w:val="Normal"/>
        <w:jc w:val="center"/>
        <w:rPr/>
      </w:pPr>
      <w:r>
        <w:rPr>
          <w:rFonts w:cs="Tahoma"/>
        </w:rPr>
        <w:t xml:space="preserve">«Сооружение доочистки. Реконструкция комплекса биологической доочистки сточных вод от биогенных элементов, г.о. Самара, производительностью 640,0 тыс. м3/сут. Этап </w:t>
      </w:r>
      <w:r>
        <w:rPr>
          <w:rFonts w:cs="Tahoma"/>
          <w:lang w:val="en-US"/>
        </w:rPr>
        <w:t>II</w:t>
      </w:r>
      <w:r>
        <w:rPr>
          <w:rFonts w:cs="Tahoma"/>
        </w:rPr>
        <w:t>. Реконструкция секций № 4-12 аэротенков ГОКС с внедрением технологической биологической очистки сточных вод с глубоким удалением азота»</w:t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</w:r>
    </w:p>
    <w:tbl>
      <w:tblPr>
        <w:tblW w:w="10209" w:type="dxa"/>
        <w:jc w:val="left"/>
        <w:tblInd w:w="-492" w:type="dxa"/>
        <w:tblCellMar>
          <w:top w:w="0" w:type="dxa"/>
          <w:left w:w="4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375"/>
        <w:gridCol w:w="6294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 xml:space="preserve">№ </w:t>
            </w:r>
            <w:r>
              <w:rPr>
                <w:rFonts w:cs="Arial"/>
              </w:rPr>
              <w:t>п/п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Перечень основных данных и требований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ООО «Самарские коммунальные системы»</w:t>
            </w:r>
          </w:p>
          <w:p>
            <w:pPr>
              <w:pStyle w:val="Normal"/>
              <w:rPr/>
            </w:pPr>
            <w:r>
              <w:rPr/>
              <w:t xml:space="preserve">Почтовый адрес: 443056, г. Самара, ул. Луначарского,  д.56 </w:t>
            </w:r>
          </w:p>
          <w:p>
            <w:pPr>
              <w:pStyle w:val="Normal"/>
              <w:rPr/>
            </w:pPr>
            <w:r>
              <w:rPr/>
              <w:t>ИНН 6312110828 КПП 631601001</w:t>
            </w:r>
          </w:p>
          <w:p>
            <w:pPr>
              <w:pStyle w:val="Normal"/>
              <w:rPr/>
            </w:pPr>
            <w:r>
              <w:rPr/>
              <w:t>ОГРН 1116312008340</w:t>
            </w:r>
          </w:p>
          <w:p>
            <w:pPr>
              <w:pStyle w:val="Normal"/>
              <w:rPr/>
            </w:pPr>
            <w:r>
              <w:rPr/>
              <w:t>Р\С 40702810903370000034</w:t>
            </w:r>
          </w:p>
          <w:p>
            <w:pPr>
              <w:pStyle w:val="Normal"/>
              <w:rPr/>
            </w:pPr>
            <w:r>
              <w:rPr/>
              <w:t>Филиал ГПБ в г. Самаре</w:t>
            </w:r>
          </w:p>
          <w:p>
            <w:pPr>
              <w:pStyle w:val="Normal"/>
              <w:rPr/>
            </w:pPr>
            <w:r>
              <w:rPr/>
              <w:t>К/с 30101810000000000917</w:t>
            </w:r>
          </w:p>
          <w:p>
            <w:pPr>
              <w:pStyle w:val="Normal"/>
              <w:rPr/>
            </w:pPr>
            <w:r>
              <w:rPr/>
              <w:t>БИК 043601917</w:t>
            </w:r>
          </w:p>
          <w:p>
            <w:pPr>
              <w:pStyle w:val="Normal"/>
              <w:rPr/>
            </w:pPr>
            <w:r>
              <w:rPr/>
              <w:t xml:space="preserve">Главный управляющий директор Бирюков Владимир Вячеславович, </w:t>
            </w:r>
          </w:p>
          <w:p>
            <w:pPr>
              <w:pStyle w:val="Normal"/>
              <w:rPr/>
            </w:pPr>
            <w:r>
              <w:rPr/>
              <w:t>действует на основании доверенности №28 от 15.02.2018г. т.+7(846)336-14-02, факс +7(846)336-89-05</w:t>
            </w:r>
          </w:p>
          <w:p>
            <w:pPr>
              <w:pStyle w:val="Normal"/>
              <w:snapToGrid w:val="false"/>
              <w:spacing w:before="0" w:after="40"/>
              <w:jc w:val="both"/>
              <w:rPr/>
            </w:pPr>
            <w:r>
              <w:rPr>
                <w:rFonts w:cs="Tahoma"/>
                <w:lang w:val="en-US"/>
              </w:rPr>
              <w:t xml:space="preserve">е-mail: </w:t>
            </w:r>
            <w:hyperlink r:id="rId2">
              <w:r>
                <w:rPr>
                  <w:rStyle w:val="Style14"/>
                  <w:rFonts w:cs="Tahoma"/>
                  <w:color w:val="00000A"/>
                  <w:lang w:val="en-US"/>
                </w:rPr>
                <w:t>oks@samcomsys.ru</w:t>
              </w:r>
            </w:hyperlink>
            <w:r>
              <w:rPr>
                <w:rFonts w:cs="Tahoma"/>
                <w:lang w:val="en-US"/>
              </w:rPr>
              <w:t xml:space="preserve"> 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Основание для проведения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1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</w:rPr>
              <w:t>Инвестиционная программа ООО «Самарские коммунальные системы».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 xml:space="preserve">Наименование и местоположение объекта 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Самарская обл., г. Самара, Куйбышевский район, ул. Обувная, 136 ,территория ГОКС.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Источник финансирования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  <w:bCs/>
              </w:rPr>
              <w:t>Бюджетные средства в рамках целевой федеральной программы «Оздоровление Волги».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Цель и назначение работы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color w:val="000000"/>
              </w:rPr>
              <w:t>Доведение уровня очистки сточных вод объемом 640 тыс. м</w:t>
            </w:r>
            <w:r>
              <w:rPr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>/сут на очистных сооружениях канализации г.о. Самара до норм, установленных требованиями действующего законодательства, направленными на снижение и предотвращение загрязнения реки Волги в рамках Федерального проекта «Оздоровление Волги».</w:t>
            </w:r>
            <w:r>
              <w:rPr>
                <w:rFonts w:cs="Tahoma"/>
              </w:rPr>
              <w:t xml:space="preserve"> Реконструкция комплекса биологической доочистки сточных вод от биогенных элементов, г.о. Самара, производительностью 640,0 тыс. м3/сут. Этап 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. Реконструкция секций № 4-12 аэротенков ГОКС с внедрением технологической биологической очистки сточных вод с глубоким удалением азота.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bookmarkStart w:id="0" w:name="__DdeLink__2870_3546885311"/>
            <w:bookmarkEnd w:id="0"/>
            <w:r>
              <w:rPr>
                <w:rFonts w:cs="Tahoma"/>
              </w:rPr>
              <w:t xml:space="preserve">В соответствии с проектом </w:t>
            </w:r>
            <w:bookmarkStart w:id="1" w:name="__DdeLink__325_1735115516"/>
            <w:r>
              <w:rPr>
                <w:rFonts w:cs="Tahoma"/>
              </w:rPr>
              <w:t>№ 630201-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-6-1-46 (ПЗ1, ПОС, ПБ, АР, КР, ИОС, ПМООС, АПС, СОУЭ).</w:t>
            </w:r>
            <w:bookmarkEnd w:id="1"/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Режим работы производства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1"/>
              <w:ind w:left="0" w:hanging="0"/>
              <w:jc w:val="both"/>
              <w:rPr>
                <w:sz w:val="20"/>
              </w:rPr>
            </w:pPr>
            <w:r>
              <w:rPr>
                <w:rFonts w:ascii="Times New Roman" w:hAnsi="Times New Roman"/>
              </w:rPr>
              <w:t>Непрерывный. Строительство в условиях действующего производства.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Состав работ, выполняемых заказчиком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Предоставление проекта № </w:t>
            </w:r>
            <w:r>
              <w:rPr>
                <w:rFonts w:cs="Tahoma" w:ascii="Times New Roman" w:hAnsi="Times New Roman"/>
                <w:sz w:val="24"/>
                <w:szCs w:val="24"/>
              </w:rPr>
              <w:t xml:space="preserve"> 630201-</w:t>
            </w:r>
            <w:r>
              <w:rPr>
                <w:rFonts w:cs="Tahoma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cs="Tahoma" w:ascii="Times New Roman" w:hAnsi="Times New Roman"/>
                <w:sz w:val="24"/>
                <w:szCs w:val="24"/>
              </w:rPr>
              <w:t>-6-1-46 (ПЗ1, ПОС, ПБ, АР, КР, ИОС, ПМООС, АПС, СОУЭ).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Состав и вид работ, выполняемых подрядчиком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ind w:left="66" w:hanging="66"/>
              <w:contextualSpacing/>
              <w:jc w:val="both"/>
              <w:rPr/>
            </w:pPr>
            <w:r>
              <w:rPr>
                <w:rFonts w:cs="Tahoma"/>
              </w:rPr>
              <w:t xml:space="preserve">В соответствии с проектом </w:t>
            </w:r>
            <w:r>
              <w:rPr/>
              <w:t>№630201-</w:t>
            </w:r>
            <w:r>
              <w:rPr>
                <w:lang w:val="en-US"/>
              </w:rPr>
              <w:t>II</w:t>
            </w:r>
            <w:r>
              <w:rPr/>
              <w:t xml:space="preserve">-6-1 </w:t>
            </w:r>
            <w:r>
              <w:rPr>
                <w:rFonts w:cs="Tahoma"/>
              </w:rPr>
              <w:t>и объемами, указанными в сметной документации.</w:t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/>
              </w:rPr>
              <w:t xml:space="preserve">Поставку оборудования осуществляет подрядчик. </w:t>
            </w:r>
            <w:r>
              <w:rPr>
                <w:rFonts w:cs="Tahoma"/>
              </w:rPr>
              <w:t xml:space="preserve">Тип и наименование – в соответствии с согласованным проектом </w:t>
            </w:r>
            <w:r>
              <w:rPr/>
              <w:t xml:space="preserve">№ </w:t>
            </w:r>
            <w:r>
              <w:rPr>
                <w:rFonts w:cs="Tahoma"/>
              </w:rPr>
              <w:t>630201-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-6-1-46 (ПЗ1, ПОС, ПБ, АР, КР, ИОС, ПМООС, АПС, СОУЭ)</w:t>
            </w:r>
            <w:r>
              <w:rPr/>
              <w:t xml:space="preserve">. </w:t>
            </w:r>
            <w:r>
              <w:rPr>
                <w:rFonts w:cs="Tahoma"/>
              </w:rPr>
              <w:t>Гарантия качества на запорную арматуру — 10 лет.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Состав разделов документации и требования к их содержанию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2. Исполнительная документация в составе: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Arial"/>
              </w:rPr>
              <w:t>- свидетельство, выданное саморегулируемой организацией на выполнение строительно-монтажных работ,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общий журнал работ, в котором отражается последовательность выполнения объемов, ответственные исполнители, материалы.</w:t>
            </w:r>
          </w:p>
          <w:p>
            <w:pPr>
              <w:pStyle w:val="Normal"/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  <w:t>- журнал сварочных работ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журнал бетонных работ</w:t>
            </w:r>
          </w:p>
          <w:p>
            <w:pPr>
              <w:pStyle w:val="Normal"/>
              <w:tabs>
                <w:tab w:val="clear" w:pos="709"/>
                <w:tab w:val="left" w:pos="2805" w:leader="none"/>
              </w:tabs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акты на скрытые работы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исполнительная схема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монтажная схема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акт приемки в эксплуатацию</w:t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- сертификаты на применяемые материалы</w:t>
            </w:r>
          </w:p>
          <w:p>
            <w:pPr>
              <w:pStyle w:val="Normal"/>
              <w:ind w:left="45" w:hanging="0"/>
              <w:jc w:val="both"/>
              <w:rPr/>
            </w:pPr>
            <w:r>
              <w:rPr>
                <w:rFonts w:cs="Arial"/>
              </w:rPr>
              <w:t>- а</w:t>
            </w:r>
            <w:r>
              <w:rPr>
                <w:rFonts w:cs="Tahoma"/>
              </w:rPr>
              <w:t xml:space="preserve">кт выполненных работ по форме КС-2, справка о стоимости работ по форме КС-3, </w:t>
            </w:r>
            <w:r>
              <w:rPr>
                <w:rFonts w:cs="Tahoma"/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>
                <w:rFonts w:cs="Tahoma"/>
              </w:rPr>
              <w:t xml:space="preserve">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Оформление принимаемых решений в ходе выполнения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технологическим решениям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Исходные данные для выполнения работ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/>
              </w:rPr>
              <w:t xml:space="preserve">Проект </w:t>
            </w:r>
            <w:r>
              <w:rPr/>
              <w:t xml:space="preserve">№ </w:t>
            </w:r>
            <w:r>
              <w:rPr>
                <w:rFonts w:cs="Tahoma"/>
              </w:rPr>
              <w:t xml:space="preserve"> </w:t>
            </w:r>
            <w:bookmarkStart w:id="2" w:name="__DdeLink__358_3291552326"/>
            <w:r>
              <w:rPr>
                <w:rFonts w:cs="Tahoma"/>
              </w:rPr>
              <w:t>630201-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-6-1-46 (ПЗ1, ПОС, ПБ, АР, КР, ИОС, ПМООС, АПС, СОУЭ).</w:t>
            </w:r>
            <w:bookmarkEnd w:id="2"/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сметной документации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с прилагаемой экспертизой, в составе проектной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природоохранным мероприятиям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 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 xml:space="preserve">В соответствии с проектом № </w:t>
            </w:r>
            <w:r>
              <w:rPr>
                <w:rFonts w:cs="Tahoma"/>
              </w:rPr>
              <w:t xml:space="preserve"> 630201-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-6-1-46 (ПЗ1, ПОС, ПБ, АР, КР, ИОС, ПМООС, АПС, СОУЭ).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проектом №</w:t>
            </w:r>
            <w:r>
              <w:rPr>
                <w:rFonts w:cs="Tahoma"/>
              </w:rPr>
              <w:t xml:space="preserve"> 630201-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-6-1-46 (ПЗ1, ПОС, ПБ, АР, КР, ИОС, ПМООС, АПС, СОУЭ).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19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Технические требования к технологическому оборудованию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В соответствии с проектом № </w:t>
            </w:r>
            <w:r>
              <w:rPr>
                <w:rFonts w:cs="Tahoma"/>
              </w:rPr>
              <w:t xml:space="preserve"> 630201-</w:t>
            </w:r>
            <w:r>
              <w:rPr>
                <w:rFonts w:cs="Tahoma"/>
                <w:lang w:val="en-US"/>
              </w:rPr>
              <w:t>II</w:t>
            </w:r>
            <w:r>
              <w:rPr>
                <w:rFonts w:cs="Tahoma"/>
              </w:rPr>
              <w:t>-6-1-46 (ПЗ1, ПОС, ПБ, АР, КР, ИОС, ПМООС, АПС, СОУЭ).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20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утилизации (захоронению) отходов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>
                <w:rFonts w:cs="Tahoma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и действующего законодательства в области обращения с отходами, в области охраны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и чёрных металлов.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21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22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Сроки выполнения работ (по основным этапам)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Arial"/>
              </w:rPr>
              <w:t>640</w:t>
            </w:r>
            <w:r>
              <w:rPr>
                <w:rFonts w:cs="Tahoma"/>
              </w:rPr>
              <w:t xml:space="preserve"> календарных дней с даты заключения договора.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23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согласованию проектной документации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Все необходимые согласования выполняет исполнитель. Отступления от ПСД должны быть согласованы с Заказчиком.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24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Техническая (исполнительная) документация по выполненным подрядным работам в полном объеме должна соответствовать треб</w:t>
            </w:r>
            <w:bookmarkStart w:id="3" w:name="_GoBack"/>
            <w:bookmarkEnd w:id="3"/>
            <w:r>
              <w:rPr>
                <w:rFonts w:cs="Arial"/>
              </w:rPr>
              <w:t xml:space="preserve">ованиям нормативной документации и Градостроительного Кодекса РФ.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25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3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numPr>
                <w:ilvl w:val="0"/>
                <w:numId w:val="1"/>
              </w:numPr>
              <w:snapToGrid w:val="false"/>
              <w:spacing w:before="0" w:after="80"/>
              <w:jc w:val="both"/>
              <w:rPr/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26</w:t>
            </w:r>
          </w:p>
        </w:tc>
        <w:tc>
          <w:tcPr>
            <w:tcW w:w="3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cs="Arial"/>
              </w:rPr>
              <w:t>Дополнительные требования и особые условия</w:t>
            </w:r>
          </w:p>
        </w:tc>
        <w:tc>
          <w:tcPr>
            <w:tcW w:w="6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80" w:after="0"/>
              <w:jc w:val="both"/>
              <w:rPr/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  <w:r>
              <w:rPr>
                <w:rFonts w:cs="Tahoma" w:ascii="Tahoma" w:hAnsi="Tahoma"/>
                <w:sz w:val="20"/>
              </w:rPr>
              <w:t xml:space="preserve"> 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</w:rPr>
              <w:t>4.</w:t>
            </w:r>
            <w:r>
              <w:rPr>
                <w:rFonts w:cs="Tahoma" w:ascii="Tahoma" w:hAnsi="Tahoma"/>
              </w:rPr>
              <w:t xml:space="preserve"> </w:t>
            </w:r>
            <w:r>
              <w:rPr>
                <w:rFonts w:cs="Tahoma"/>
              </w:rPr>
              <w:t>Гарантия на выполненные работы 5 лет.</w:t>
            </w:r>
          </w:p>
        </w:tc>
      </w:tr>
    </w:tbl>
    <w:p>
      <w:pPr>
        <w:pStyle w:val="Normal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ind w:left="-567" w:hanging="0"/>
        <w:rPr/>
      </w:pPr>
      <w:r>
        <w:rPr/>
      </w:r>
    </w:p>
    <w:p>
      <w:pPr>
        <w:pStyle w:val="Normal"/>
        <w:ind w:left="-567" w:hanging="0"/>
        <w:rPr/>
      </w:pPr>
      <w:r>
        <w:rPr/>
      </w:r>
    </w:p>
    <w:p>
      <w:pPr>
        <w:pStyle w:val="Normal"/>
        <w:ind w:left="-567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Д.С. Ракицкий</w:t>
      </w:r>
    </w:p>
    <w:p>
      <w:pPr>
        <w:pStyle w:val="Normal"/>
        <w:spacing w:before="0" w:after="240"/>
        <w:ind w:left="-567" w:hanging="0"/>
        <w:rPr>
          <w:rFonts w:ascii="Tahoma" w:hAnsi="Tahoma" w:cs="Tahoma"/>
          <w:sz w:val="20"/>
          <w:szCs w:val="20"/>
        </w:rPr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spacing w:before="0" w:after="240"/>
        <w:ind w:left="-567" w:hanging="0"/>
        <w:rPr>
          <w:rFonts w:cs="Tahoma"/>
        </w:rPr>
      </w:pPr>
      <w:r>
        <w:rPr>
          <w:rFonts w:cs="Tahoma"/>
        </w:rPr>
      </w:r>
    </w:p>
    <w:p>
      <w:pPr>
        <w:pStyle w:val="Normal"/>
        <w:spacing w:before="0" w:after="240"/>
        <w:ind w:left="-567" w:hanging="0"/>
        <w:rPr>
          <w:rFonts w:cs="Arial"/>
          <w:b/>
          <w:b/>
        </w:rPr>
      </w:pPr>
      <w:r>
        <w:rPr>
          <w:rFonts w:cs="Arial"/>
          <w:b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40"/>
        <w:ind w:left="-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Standard"/>
        <w:spacing w:lineRule="auto" w:line="360"/>
        <w:rPr/>
      </w:pPr>
      <w:r>
        <w:rPr/>
      </w:r>
    </w:p>
    <w:sectPr>
      <w:type w:val="nextPage"/>
      <w:pgSz w:w="11906" w:h="16838"/>
      <w:pgMar w:left="1701" w:right="850" w:header="0" w:top="567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ru-RU" w:bidi="ar-SA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с отступом 2 Знак"/>
    <w:basedOn w:val="DefaultParagraphFont"/>
    <w:link w:val="2"/>
    <w:qFormat/>
    <w:rsid w:val="00ea4c97"/>
    <w:rPr>
      <w:sz w:val="24"/>
      <w:szCs w:val="2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ea4c97"/>
    <w:rPr>
      <w:rFonts w:ascii="Arial" w:hAnsi="Arial"/>
      <w:sz w:val="24"/>
    </w:rPr>
  </w:style>
  <w:style w:type="character" w:styleId="1" w:customStyle="1">
    <w:name w:val="Заголовок 1 Знак"/>
    <w:basedOn w:val="DefaultParagraphFont"/>
    <w:qFormat/>
    <w:rsid w:val="00cb2bf4"/>
    <w:rPr>
      <w:rFonts w:ascii="Arial" w:hAnsi="Arial" w:cs="Arial"/>
      <w:b/>
      <w:bCs/>
      <w:sz w:val="24"/>
      <w:szCs w:val="24"/>
    </w:rPr>
  </w:style>
  <w:style w:type="paragraph" w:styleId="Style16" w:customStyle="1">
    <w:name w:val="Заголовок"/>
    <w:basedOn w:val="Normal"/>
    <w:next w:val="Style17"/>
    <w:qFormat/>
    <w:rsid w:val="002d5b34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8">
    <w:name w:val="List"/>
    <w:basedOn w:val="Style17"/>
    <w:rsid w:val="002d5b34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2d5b34"/>
    <w:pPr>
      <w:suppressLineNumbers/>
    </w:pPr>
    <w:rPr>
      <w:rFonts w:cs="Mangal"/>
    </w:rPr>
  </w:style>
  <w:style w:type="paragraph" w:styleId="11" w:customStyle="1">
    <w:name w:val="Заголовок 11"/>
    <w:basedOn w:val="Normal"/>
    <w:link w:val="11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2" w:customStyle="1">
    <w:name w:val="Название объекта1"/>
    <w:basedOn w:val="Normal"/>
    <w:qFormat/>
    <w:rsid w:val="002d5b34"/>
    <w:pPr>
      <w:suppressLineNumbers/>
      <w:spacing w:before="120" w:after="120"/>
    </w:pPr>
    <w:rPr>
      <w:rFonts w:cs="Mangal"/>
      <w:i/>
      <w:iCs/>
    </w:rPr>
  </w:style>
  <w:style w:type="paragraph" w:styleId="Style21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3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2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99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Indent2">
    <w:name w:val="Body Text Indent 2"/>
    <w:basedOn w:val="Normal"/>
    <w:qFormat/>
    <w:rsid w:val="00ea4c97"/>
    <w:pPr>
      <w:spacing w:lineRule="auto" w:line="480" w:before="0" w:after="120"/>
      <w:ind w:left="283" w:hanging="0"/>
    </w:pPr>
    <w:rPr/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14" w:customStyle="1">
    <w:name w:val="Верхний колонтитул1"/>
    <w:basedOn w:val="Normal"/>
    <w:uiPriority w:val="99"/>
    <w:qFormat/>
    <w:rsid w:val="00ea4c97"/>
    <w:pPr>
      <w:tabs>
        <w:tab w:val="clear" w:pos="709"/>
        <w:tab w:val="center" w:pos="4677" w:leader="none"/>
        <w:tab w:val="right" w:pos="9355" w:leader="none"/>
      </w:tabs>
      <w:textAlignment w:val="baseline"/>
    </w:pPr>
    <w:rPr>
      <w:rFonts w:ascii="Arial" w:hAnsi="Arial"/>
      <w:szCs w:val="20"/>
    </w:rPr>
  </w:style>
  <w:style w:type="paragraph" w:styleId="Standard" w:customStyle="1">
    <w:name w:val="Standard"/>
    <w:qFormat/>
    <w:rsid w:val="007474f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eastAsia="ru-RU" w:bidi="ar-SA" w:val="ru-RU"/>
    </w:rPr>
  </w:style>
  <w:style w:type="paragraph" w:styleId="21" w:customStyle="1">
    <w:name w:val="Основной текст с отступом 21"/>
    <w:basedOn w:val="Normal"/>
    <w:qFormat/>
    <w:rsid w:val="00765183"/>
    <w:pPr>
      <w:suppressAutoHyphens w:val="true"/>
      <w:ind w:firstLine="720"/>
      <w:jc w:val="center"/>
      <w:textAlignment w:val="baseline"/>
    </w:pPr>
    <w:rPr>
      <w:b/>
      <w:bCs/>
      <w:szCs w:val="20"/>
      <w:lang w:eastAsia="zh-CN"/>
    </w:rPr>
  </w:style>
  <w:style w:type="paragraph" w:styleId="Style24" w:customStyle="1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A2508-535B-4D59-A160-3AE3B4FB5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Application>LibreOffice/6.3.4.2$Windows_X86_64 LibreOffice_project/60da17e045e08f1793c57c00ba83cdfce946d0aa</Application>
  <Pages>6</Pages>
  <Words>1009</Words>
  <Characters>7139</Characters>
  <CharactersWithSpaces>8232</CharactersWithSpaces>
  <Paragraphs>120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2014-06-10T13:00:00Z</dcterms:created>
  <dc:creator>WASQ</dc:creator>
  <dc:description/>
  <dc:language>ru-RU</dc:language>
  <cp:lastModifiedBy>Зелих Екатерина Генриховна</cp:lastModifiedBy>
  <cp:lastPrinted>2021-11-10T10:41:00Z</cp:lastPrinted>
  <dcterms:modified xsi:type="dcterms:W3CDTF">2021-11-19T11:49:00Z</dcterms:modified>
  <cp:revision>152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